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65B69"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附件</w:t>
      </w:r>
    </w:p>
    <w:p w14:paraId="40BD9074" w14:textId="77777777" w:rsidR="00434C85" w:rsidRDefault="00434C85" w:rsidP="00434C85">
      <w:pPr>
        <w:pStyle w:val="a7"/>
        <w:shd w:val="clear" w:color="auto" w:fill="FEFEFE"/>
        <w:jc w:val="center"/>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Style w:val="a8"/>
          <w:rFonts w:ascii="黑体" w:eastAsia="黑体" w:hAnsi="黑体" w:hint="eastAsia"/>
          <w:color w:val="000000"/>
          <w:sz w:val="32"/>
          <w:szCs w:val="32"/>
        </w:rPr>
        <w:t> </w:t>
      </w:r>
      <w:r>
        <w:rPr>
          <w:rStyle w:val="a8"/>
          <w:rFonts w:ascii="黑体" w:eastAsia="黑体" w:hAnsi="黑体" w:hint="eastAsia"/>
          <w:color w:val="000000"/>
          <w:sz w:val="32"/>
          <w:szCs w:val="32"/>
        </w:rPr>
        <w:t>2024年度决策咨询研究文化和旅游专项课题指南</w:t>
      </w:r>
    </w:p>
    <w:p w14:paraId="2A2FCCB1" w14:textId="25F206FA"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一、文化和旅游新质生产力塑造路径研究</w:t>
      </w:r>
    </w:p>
    <w:p w14:paraId="06CC7CF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6DE2E153"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高质量发展是新时代的硬道理，发展新质生产力是推动高质量发展的内在要求和重要着力点。新时代新征程，文化对经济社会高质量发展的支点作用显著增强，人民对高品质精神文化生活需求显著增长，塑造文化和旅游新质生产力迫在眉睫。本研究旨在立足上海城市功能和文旅特色，阐释文化和旅游新质生产力的内涵、特征与价值，探析文旅产业全要素生产率提升的主攻方向，提出深化文化体制机制改革、激发文化创新创造活力的对策建议，助力上海建设习近平文化思想最佳实践地。</w:t>
      </w:r>
    </w:p>
    <w:p w14:paraId="33EB25F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5F1B3A8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1.坚持理论与实践相结合，阐释文化和旅游新质生产力的内涵、特征与价值；</w:t>
      </w:r>
    </w:p>
    <w:p w14:paraId="32A1652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2.分析上海文旅产业发展现状、优势与问题；</w:t>
      </w:r>
    </w:p>
    <w:p w14:paraId="74B2324D"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3.建构上海文旅产业全要素生产率提升的主攻方向；</w:t>
      </w:r>
    </w:p>
    <w:p w14:paraId="7340A97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4.提出深化文化体制机制改革、激发文化创新创造活力的对策建议。</w:t>
      </w:r>
    </w:p>
    <w:p w14:paraId="12B1E684"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4DE516EA"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68ACFB5A"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4F339E8F"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二、城市更新中的文化传承与空间营造研究</w:t>
      </w:r>
    </w:p>
    <w:p w14:paraId="0A56BF4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3CF3B1EC"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2024年首个工作日，上海举行全市城市更新推进大会，出台《关于深化实施城市更新行动加快推动高质量发展的意见》，要求把人民宜居安居放在首位，完善发展布局，向存量要功能、向集约要空间、向更新要效益，促进要素资源优化配置，提升空间承载力，提高内涵式发展水平。本研究旨在深入贯彻人民城市理念，结合深化实施城市更新行动，主动融入和提升文旅功能，打造更多老百姓家门口“小而美”的演艺新空间、人文新景观、休闲好去处，推动将文化服务的“最后一公里”变成“最美一公里”，推动塑造城市生活的“绽放秀带”。</w:t>
      </w:r>
    </w:p>
    <w:p w14:paraId="6BFD82FF"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77976FC9"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1.阐释城市更新与弘扬城市精神、传承城市文脉、创造美好生活之间的关系；</w:t>
      </w:r>
    </w:p>
    <w:p w14:paraId="07A87BAB"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2.分析国内外城市更新中文化传承与空间营造的成功案例和可借鉴的经验做法；</w:t>
      </w:r>
    </w:p>
    <w:p w14:paraId="659CF62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3.梳理上海在城市更新中文化传承与空间营造的基本状况、运行机制和瓶颈问题；</w:t>
      </w:r>
    </w:p>
    <w:p w14:paraId="519C4EB9"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4.结合深化实施城市更新行动，提出城市最美公共文化空间营造的对策建议。</w:t>
      </w:r>
    </w:p>
    <w:p w14:paraId="7484E22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28E4CEEE"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6CE35581"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685415EB"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三、新发展格局下的上海文化出海战略研究</w:t>
      </w:r>
    </w:p>
    <w:p w14:paraId="7CD9D37A"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4B92D9DE"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党的二十大明确提出，要“加快构建新发展格局，推动高质量发展”，对“增强中华文明传播力影响力”专门作出部署。上海是文化建设的高地，是展示中华文化的重要窗口。本研究旨在更好发挥上海文化的窗口作用和平台功能，立足于强化全球文化资源配置能力，用好用足国内国际两种资源两个市场，提出新发展格局下上海“文化出海”战略的目标、路径和举措，推动上海构建文旅领域国内大循环中心节点和国内国际双循环战略链接，打造具有世界影响力的上海文化品牌。</w:t>
      </w:r>
    </w:p>
    <w:p w14:paraId="5BBCFEE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7C8AC06C"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1.以历史维度和全球视野，研究阐释新发展格局下推进“文化出海”战略的重大意义和发展趋势；</w:t>
      </w:r>
    </w:p>
    <w:p w14:paraId="7204E26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2.研究分析目前上海国际文化服务贸易的规模、结构、特点、短板以及在全球城市中的地位作用；</w:t>
      </w:r>
    </w:p>
    <w:p w14:paraId="406E43F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3.从战略和全局高度，提出新发展格局下上海实施“文化出海”战略的目标、路径和举措。</w:t>
      </w:r>
    </w:p>
    <w:p w14:paraId="613122C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35102F4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48F2310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0E4F8D8C"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四、文旅赋能城市消费融合创新发展路径研究</w:t>
      </w:r>
    </w:p>
    <w:p w14:paraId="1CF5E99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210EDC09"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十二届市委四次全会明确提出，要以国际消费中心城市建设为抓手，加快重点商圈改造提升，创新消费场景和消费业态，促进服务消费提质扩容，促进文体商旅展深度融合。随着消费下沉与消费升级趋势演化，当下人们消费更加注重情绪价值、体验经济和意义消费。本研究旨在研究消费需求侧新趋势新特点，分析上海文体商旅展联动发展的现状、优势和问题，对标全球城市成功案例，从机制、产业、空间、活动等多维度入手，提出促进文体商旅展深度融合、创新发展的基本策略，助推城市消费扩容提质升级，加快上海建设国际消费中心城市。</w:t>
      </w:r>
    </w:p>
    <w:p w14:paraId="521C161E"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1A89565E"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1.研究新时代背景下服务消费新趋势新特点；</w:t>
      </w:r>
    </w:p>
    <w:p w14:paraId="21C302FB"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2.分析上海文体商旅展联动发展现状、优势和问题；</w:t>
      </w:r>
    </w:p>
    <w:p w14:paraId="51561ED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3.梳理全球城市成功案例和基本规律；</w:t>
      </w:r>
    </w:p>
    <w:p w14:paraId="6FE9044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4.立足国际消费中心城市建设，提出上海促进文体商旅展深度融合、创新发展的基本策略。</w:t>
      </w:r>
    </w:p>
    <w:p w14:paraId="5955F527"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51AABF9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1E850FAD"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71B71113"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五、海派文化的当代价值与场景建构研究</w:t>
      </w:r>
    </w:p>
    <w:p w14:paraId="1716ECB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65839752"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上海历史文化底蕴深厚，红色文化、海派文化、江南文化在这里交相辉映，中外文化在这里交汇融通，是文化建设的高地,也是展示中华文化的重要窗口。本研究旨在坚持“两个结合”，坚守中华文化主体性，以古今融通、中西结合的视角，研究海派文化的历史渊源与本质特征，阐释红色文化、海派文化、江南文化融合发展的基本规律，揭示海派文化的当代价值与主要载体，提出海派文化的产品开发与场景建构的基本策略，深入文化发展的底层逻辑，讲清楚“何以海派”“何为海派”和“海派何为”。</w:t>
      </w:r>
    </w:p>
    <w:p w14:paraId="04510E24"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34983D64"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1.研究海派文化的历史渊源与本质特征；</w:t>
      </w:r>
    </w:p>
    <w:p w14:paraId="4F77F5A7"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2.阐释红色文化、海派文化、江南文化融合发展规律；</w:t>
      </w:r>
    </w:p>
    <w:p w14:paraId="4817D6B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3.探析海派文化的当代价值与主要载体；</w:t>
      </w:r>
    </w:p>
    <w:p w14:paraId="55951C8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4.提出海派文化的产品开发与场景建构的对策举措。</w:t>
      </w:r>
    </w:p>
    <w:p w14:paraId="547405B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020B15F2"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7E5592B1"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33E98FD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六、世界著名旅游城市国际传播体系建构研究</w:t>
      </w:r>
    </w:p>
    <w:p w14:paraId="223FAEC7"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0020DE51"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十四五”规划明确，上海要构建高品质世界著名旅游城市新格局，加快建设都市旅游首选城市、国际旅游开放枢纽、亚太旅游投资门户、国际数字旅游之都。加强上海旅游国际传播体系建构、打造中国入境旅游第一站是实现规划目标的重要路径，更关乎上海城市吸引力和影响力的有效提升。本研究旨在加强国际对标，开展分国别旅游行为特征研究，从国际传播的形象标识、渠道载体、核心内容等维度入手，建构上海旅游推广国际传播体系，助力上海放大中国入境旅游第一站的功能效应，以旅游推广为载体，突出人性张力、百姓视角、共情呈现、文明底色，进一步讲好中国故事，演绎上海精彩，向世界展现可信、可爱、可敬的中国形象。</w:t>
      </w:r>
    </w:p>
    <w:p w14:paraId="07FD6A9F"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1FF01B2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1.梳理世界著名旅游城市在旅游推广国际传播方面的典型案例与先进经验；</w:t>
      </w:r>
    </w:p>
    <w:p w14:paraId="594E4A4C"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2.聚焦上海入境游主要客源地，开展分区域分国别的旅游消费行为特征分析；</w:t>
      </w:r>
    </w:p>
    <w:p w14:paraId="2B853DD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3.从形象标识、渠道载体、核心内容等维度入手，建构上海旅游推广国际传播体系；</w:t>
      </w:r>
    </w:p>
    <w:p w14:paraId="31A1EC0C"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4.提出分区域分国别的旅游推广国际传播的具体策略。</w:t>
      </w:r>
    </w:p>
    <w:p w14:paraId="2BE94FC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30A5F004"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68F58CD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2F27ECB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七、生成式人工智能赋能文旅产业高质量发展路径研究</w:t>
      </w:r>
    </w:p>
    <w:p w14:paraId="29B10A90"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07EF073D"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当前，以区块链、人工智能和大模型为核心的新一轮科技革命和产业变革正在加速演进。十二届市委四次全会明确提出，要加快大模型、区块链等新动能培育壮大，加快发展新质生产力。随着人民对高品质精神文化生活需求日益增长，文化和旅游已成为人工智能等新科技应用的流量入口和实战场景。本研究旨在聚焦生成式人工智能的技术特征和发展趋势，分析新科技对文旅业发展带来的机遇和挑战，提出生成式人工智能赋能上海文旅产业高质量发展的突破点与创新点，推动上海抢占文旅业未来发展的新赛道。</w:t>
      </w:r>
    </w:p>
    <w:p w14:paraId="77F5693A"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1CD2CD82"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1.研究生成式人工智能的技术特征和发展趋势；</w:t>
      </w:r>
    </w:p>
    <w:p w14:paraId="5E22BC62"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2.分析生成式人工智能对文旅业带来的机遇和挑战；</w:t>
      </w:r>
    </w:p>
    <w:p w14:paraId="75A1D25E"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3.提出生成式人工智能赋能上海文旅产业高质量发展的对策建议。</w:t>
      </w:r>
    </w:p>
    <w:p w14:paraId="5C104706"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77819A27"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4203B65D"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2377F2B7"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Style w:val="a8"/>
          <w:rFonts w:ascii="微软雅黑" w:eastAsia="微软雅黑" w:hAnsi="微软雅黑" w:hint="eastAsia"/>
          <w:color w:val="000000"/>
          <w:sz w:val="21"/>
          <w:szCs w:val="21"/>
        </w:rPr>
        <w:t>八、具有现代化国际大都市特点的文旅赋能乡村振兴策略研究</w:t>
      </w:r>
    </w:p>
    <w:p w14:paraId="4BA723A8"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研究目的与要求：</w:t>
      </w:r>
    </w:p>
    <w:p w14:paraId="660FC151"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党的二十大报告首次提出全面推进乡村振兴战略，明确要求扎实推动乡村产业、人才、文化、生态、组织振兴。上海召开实施乡村振兴战略现场推进会，提出要充分凸显乡村的经济价值、生态价值、社会价值、文化价值，走出具有现代化国际大都市特点的城乡融合发展新路子。本研究旨在梳理分析上海乡村文化和旅游发展的现状、特点、优势和问题，突出上海现代化国际大都市特点，提出文旅赋能乡村振兴的基本策略和保障措施，让文化和旅游成为全面推进乡村振兴战略的突破口和引爆点。</w:t>
      </w:r>
    </w:p>
    <w:p w14:paraId="05781FBD"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课题重点研究但不限于以下方面：</w:t>
      </w:r>
    </w:p>
    <w:p w14:paraId="6C664AEF"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1.阐释文旅赋能乡村振兴的时代背景和重要意义；</w:t>
      </w:r>
    </w:p>
    <w:p w14:paraId="2B559249"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2.梳理分析上海乡村文化和旅游发展的现状、特点、优势和问题；</w:t>
      </w:r>
    </w:p>
    <w:p w14:paraId="0CD9BDE2"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3.突出上海现代化国际大都市特点，提出文旅赋能乡村振兴的对策举措。</w:t>
      </w:r>
    </w:p>
    <w:p w14:paraId="185645E5"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研究实施进度与要求：</w:t>
      </w:r>
    </w:p>
    <w:p w14:paraId="40C41DE9"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lastRenderedPageBreak/>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1.2024年7月，提交课题研究中期成果报告或专题报告，进行中期成果评估。</w:t>
      </w:r>
    </w:p>
    <w:p w14:paraId="3EBC4491" w14:textId="77777777" w:rsidR="00434C85" w:rsidRDefault="00434C85" w:rsidP="00434C85">
      <w:pPr>
        <w:pStyle w:val="a7"/>
        <w:shd w:val="clear" w:color="auto" w:fill="FEFEFE"/>
        <w:rPr>
          <w:rFonts w:ascii="微软雅黑" w:eastAsia="微软雅黑" w:hAnsi="微软雅黑"/>
          <w:color w:val="000000"/>
          <w:sz w:val="21"/>
          <w:szCs w:val="21"/>
        </w:rPr>
      </w:pP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 </w:t>
      </w:r>
      <w:r>
        <w:rPr>
          <w:rFonts w:ascii="微软雅黑" w:eastAsia="微软雅黑" w:hAnsi="微软雅黑" w:hint="eastAsia"/>
          <w:color w:val="000000"/>
          <w:sz w:val="21"/>
          <w:szCs w:val="21"/>
        </w:rPr>
        <w:t>2.2024年10月，完成研究任务，提交课题研究总报告（字数不限）以及简要版本（约1万字）。书面材料各一式三份，同时提交相应的电子版文件（Word格式）。</w:t>
      </w:r>
    </w:p>
    <w:p w14:paraId="579F4F1B" w14:textId="77777777" w:rsidR="00434C85" w:rsidRPr="004569A9" w:rsidRDefault="00434C85" w:rsidP="00434C85"/>
    <w:p w14:paraId="302D98EB" w14:textId="77777777" w:rsidR="00A44F8B" w:rsidRPr="00434C85" w:rsidRDefault="00A44F8B"/>
    <w:sectPr w:rsidR="00A44F8B" w:rsidRPr="00434C85" w:rsidSect="00D377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FABC3" w14:textId="77777777" w:rsidR="00D3774A" w:rsidRDefault="00D3774A" w:rsidP="00434C85">
      <w:r>
        <w:separator/>
      </w:r>
    </w:p>
  </w:endnote>
  <w:endnote w:type="continuationSeparator" w:id="0">
    <w:p w14:paraId="056E6622" w14:textId="77777777" w:rsidR="00D3774A" w:rsidRDefault="00D3774A" w:rsidP="0043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F4D6" w14:textId="77777777" w:rsidR="00D3774A" w:rsidRDefault="00D3774A" w:rsidP="00434C85">
      <w:r>
        <w:separator/>
      </w:r>
    </w:p>
  </w:footnote>
  <w:footnote w:type="continuationSeparator" w:id="0">
    <w:p w14:paraId="23F4454A" w14:textId="77777777" w:rsidR="00D3774A" w:rsidRDefault="00D3774A" w:rsidP="00434C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B6"/>
    <w:rsid w:val="00434C85"/>
    <w:rsid w:val="004F03B6"/>
    <w:rsid w:val="00A44F8B"/>
    <w:rsid w:val="00D37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5A6F0"/>
  <w15:chartTrackingRefBased/>
  <w15:docId w15:val="{C378D66C-3F5F-46D9-99EA-42775F6B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C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C85"/>
    <w:pPr>
      <w:tabs>
        <w:tab w:val="center" w:pos="4153"/>
        <w:tab w:val="right" w:pos="8306"/>
      </w:tabs>
      <w:snapToGrid w:val="0"/>
      <w:jc w:val="center"/>
    </w:pPr>
    <w:rPr>
      <w:sz w:val="18"/>
      <w:szCs w:val="18"/>
    </w:rPr>
  </w:style>
  <w:style w:type="character" w:customStyle="1" w:styleId="a4">
    <w:name w:val="页眉 字符"/>
    <w:basedOn w:val="a0"/>
    <w:link w:val="a3"/>
    <w:uiPriority w:val="99"/>
    <w:rsid w:val="00434C85"/>
    <w:rPr>
      <w:sz w:val="18"/>
      <w:szCs w:val="18"/>
    </w:rPr>
  </w:style>
  <w:style w:type="paragraph" w:styleId="a5">
    <w:name w:val="footer"/>
    <w:basedOn w:val="a"/>
    <w:link w:val="a6"/>
    <w:uiPriority w:val="99"/>
    <w:unhideWhenUsed/>
    <w:rsid w:val="00434C85"/>
    <w:pPr>
      <w:tabs>
        <w:tab w:val="center" w:pos="4153"/>
        <w:tab w:val="right" w:pos="8306"/>
      </w:tabs>
      <w:snapToGrid w:val="0"/>
      <w:jc w:val="left"/>
    </w:pPr>
    <w:rPr>
      <w:sz w:val="18"/>
      <w:szCs w:val="18"/>
    </w:rPr>
  </w:style>
  <w:style w:type="character" w:customStyle="1" w:styleId="a6">
    <w:name w:val="页脚 字符"/>
    <w:basedOn w:val="a0"/>
    <w:link w:val="a5"/>
    <w:uiPriority w:val="99"/>
    <w:rsid w:val="00434C85"/>
    <w:rPr>
      <w:sz w:val="18"/>
      <w:szCs w:val="18"/>
    </w:rPr>
  </w:style>
  <w:style w:type="paragraph" w:styleId="a7">
    <w:name w:val="Normal (Web)"/>
    <w:basedOn w:val="a"/>
    <w:uiPriority w:val="99"/>
    <w:unhideWhenUsed/>
    <w:rsid w:val="00434C85"/>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434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邓红娟</dc:creator>
  <cp:keywords/>
  <dc:description/>
  <cp:lastModifiedBy>邓红娟</cp:lastModifiedBy>
  <cp:revision>2</cp:revision>
  <dcterms:created xsi:type="dcterms:W3CDTF">2024-03-22T02:30:00Z</dcterms:created>
  <dcterms:modified xsi:type="dcterms:W3CDTF">2024-03-22T02:30:00Z</dcterms:modified>
</cp:coreProperties>
</file>